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5D2B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 xml:space="preserve">Year </w:t>
      </w:r>
      <w:r w:rsidR="004C540B">
        <w:rPr>
          <w:rFonts w:ascii="Century Gothic" w:hAnsi="Century Gothic"/>
          <w:sz w:val="24"/>
          <w:szCs w:val="24"/>
          <w:u w:val="single" w:color="000000"/>
        </w:rPr>
        <w:t>6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517151">
        <w:rPr>
          <w:rFonts w:ascii="Century Gothic" w:hAnsi="Century Gothic"/>
          <w:sz w:val="24"/>
          <w:szCs w:val="24"/>
          <w:u w:val="single" w:color="000000"/>
        </w:rPr>
        <w:t>2</w:t>
      </w:r>
      <w:r w:rsidR="00A47229" w:rsidRPr="005277C6">
        <w:rPr>
          <w:rFonts w:ascii="Century Gothic" w:hAnsi="Century Gothic"/>
          <w:sz w:val="24"/>
          <w:szCs w:val="24"/>
        </w:rPr>
        <w:t xml:space="preserve">  </w:t>
      </w:r>
    </w:p>
    <w:p w14:paraId="38E65D2C" w14:textId="37EBAB76" w:rsidR="00F93C9E" w:rsidRPr="00517151" w:rsidRDefault="00517151">
      <w:pPr>
        <w:ind w:left="1262" w:firstLine="0"/>
        <w:jc w:val="center"/>
        <w:rPr>
          <w:rFonts w:ascii="Century Gothic" w:hAnsi="Century Gothic"/>
          <w:sz w:val="24"/>
          <w:szCs w:val="24"/>
          <w:u w:val="single"/>
        </w:rPr>
      </w:pPr>
      <w:r w:rsidRPr="00517151">
        <w:rPr>
          <w:rFonts w:ascii="Century Gothic" w:hAnsi="Century Gothic"/>
          <w:noProof/>
          <w:sz w:val="24"/>
          <w:szCs w:val="24"/>
          <w:u w:val="single"/>
        </w:rPr>
        <w:t>What are drugs?</w:t>
      </w:r>
    </w:p>
    <w:p w14:paraId="240FF9FD" w14:textId="77777777" w:rsidR="00C5631E" w:rsidRPr="00481EBE" w:rsidRDefault="00A47229" w:rsidP="00C5631E">
      <w:pPr>
        <w:ind w:left="1262" w:firstLine="0"/>
        <w:jc w:val="center"/>
        <w:rPr>
          <w:rFonts w:ascii="Century Gothic" w:hAnsi="Century Gothic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C5631E" w:rsidRPr="00FC0A25">
          <w:rPr>
            <w:rStyle w:val="Hyperlink"/>
            <w:rFonts w:ascii="Century Gothic" w:hAnsi="Century Gothic"/>
          </w:rPr>
          <w:t>Positive Choices Coventry</w:t>
        </w:r>
      </w:hyperlink>
    </w:p>
    <w:p w14:paraId="38E65D2F" w14:textId="19587A5C" w:rsidR="00F93C9E" w:rsidRPr="005277C6" w:rsidRDefault="00A47229" w:rsidP="00C5631E">
      <w:pPr>
        <w:tabs>
          <w:tab w:val="center" w:pos="10081"/>
          <w:tab w:val="center" w:pos="10802"/>
          <w:tab w:val="center" w:pos="11522"/>
        </w:tabs>
        <w:ind w:left="-15" w:firstLine="0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</w:rPr>
        <w:tab/>
        <w:t xml:space="preserve"> </w:t>
      </w:r>
    </w:p>
    <w:p w14:paraId="38E65D30" w14:textId="77777777" w:rsidR="00F93C9E" w:rsidRPr="005277C6" w:rsidRDefault="00A47229">
      <w:pPr>
        <w:ind w:left="0" w:firstLine="0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C5631E" w14:paraId="38E65D3E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31" w14:textId="77777777" w:rsidR="004A585A" w:rsidRPr="00C5631E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sz w:val="22"/>
              </w:rPr>
              <w:t xml:space="preserve"> </w:t>
            </w:r>
          </w:p>
          <w:p w14:paraId="38E65D32" w14:textId="77777777" w:rsidR="004A585A" w:rsidRPr="00C5631E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C5631E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38E65D33" w14:textId="77777777" w:rsidR="006C222C" w:rsidRPr="00C5631E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C5631E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38E65D34" w14:textId="77777777" w:rsidR="006C222C" w:rsidRPr="00C5631E" w:rsidRDefault="00E92981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1" w:history="1">
              <w:r w:rsidR="006C222C" w:rsidRPr="00C5631E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38E65D35" w14:textId="77777777" w:rsidR="006C222C" w:rsidRPr="00C5631E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36" w14:textId="77777777" w:rsidR="00BE10BD" w:rsidRPr="00C5631E" w:rsidRDefault="00BE10BD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sz w:val="22"/>
              </w:rPr>
              <w:t>Learning outcomes</w:t>
            </w:r>
          </w:p>
          <w:p w14:paraId="38E65D37" w14:textId="77777777" w:rsidR="004A585A" w:rsidRPr="00C5631E" w:rsidRDefault="004A585A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sz w:val="22"/>
              </w:rPr>
              <w:t xml:space="preserve"> </w:t>
            </w:r>
          </w:p>
          <w:p w14:paraId="38E65D38" w14:textId="77777777" w:rsidR="00BE10BD" w:rsidRPr="00C5631E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38E65D39" w14:textId="77777777" w:rsidR="00BE10BD" w:rsidRPr="00C5631E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38E65D3A" w14:textId="77777777" w:rsidR="006618A1" w:rsidRPr="00C5631E" w:rsidRDefault="00517151" w:rsidP="000E68D9">
            <w:pPr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C5631E">
              <w:rPr>
                <w:rFonts w:ascii="Century Gothic" w:hAnsi="Century Gothic"/>
                <w:b w:val="0"/>
                <w:bCs/>
                <w:sz w:val="22"/>
              </w:rPr>
              <w:t>An understanding on Tobacco, Alcohol and Cannabis</w:t>
            </w:r>
          </w:p>
          <w:p w14:paraId="38E65D3B" w14:textId="36456698" w:rsidR="00517151" w:rsidRPr="00C5631E" w:rsidRDefault="00517151" w:rsidP="000E68D9">
            <w:pPr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C5631E">
              <w:rPr>
                <w:rFonts w:ascii="Century Gothic" w:hAnsi="Century Gothic"/>
                <w:b w:val="0"/>
                <w:bCs/>
                <w:sz w:val="22"/>
              </w:rPr>
              <w:t xml:space="preserve">An awareness of the effects and impacts on the </w:t>
            </w:r>
            <w:r w:rsidR="00C5631E" w:rsidRPr="00C5631E">
              <w:rPr>
                <w:rFonts w:ascii="Century Gothic" w:hAnsi="Century Gothic"/>
                <w:b w:val="0"/>
                <w:bCs/>
                <w:sz w:val="22"/>
              </w:rPr>
              <w:t>body.</w:t>
            </w:r>
          </w:p>
          <w:p w14:paraId="38E65D3C" w14:textId="57341F87" w:rsidR="00517151" w:rsidRPr="00C5631E" w:rsidRDefault="00517151" w:rsidP="000E68D9">
            <w:pPr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C5631E">
              <w:rPr>
                <w:rFonts w:ascii="Century Gothic" w:hAnsi="Century Gothic"/>
                <w:b w:val="0"/>
                <w:bCs/>
                <w:sz w:val="22"/>
              </w:rPr>
              <w:t xml:space="preserve">Become comfortable in knowing the laws around these </w:t>
            </w:r>
            <w:r w:rsidR="00C5631E" w:rsidRPr="00C5631E">
              <w:rPr>
                <w:rFonts w:ascii="Century Gothic" w:hAnsi="Century Gothic"/>
                <w:b w:val="0"/>
                <w:bCs/>
                <w:sz w:val="22"/>
              </w:rPr>
              <w:t>drugs.</w:t>
            </w:r>
          </w:p>
          <w:p w14:paraId="38E65D3D" w14:textId="77777777" w:rsidR="00832372" w:rsidRPr="00C5631E" w:rsidRDefault="00832372" w:rsidP="008B40DA">
            <w:pPr>
              <w:pStyle w:val="Default"/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A585A" w:rsidRPr="00C5631E" w14:paraId="38E65D41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3F" w14:textId="77777777" w:rsidR="004A585A" w:rsidRPr="00C5631E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40" w14:textId="77777777" w:rsidR="004A585A" w:rsidRPr="00C5631E" w:rsidRDefault="003470A3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b w:val="0"/>
                <w:sz w:val="22"/>
              </w:rPr>
              <w:t>45</w:t>
            </w:r>
            <w:r w:rsidR="00A47229" w:rsidRPr="00C5631E">
              <w:rPr>
                <w:rFonts w:ascii="Century Gothic" w:hAnsi="Century Gothic"/>
                <w:b w:val="0"/>
                <w:sz w:val="22"/>
              </w:rPr>
              <w:t xml:space="preserve"> minutes (depending upon pupil’s needs and teacher choices</w:t>
            </w:r>
            <w:r w:rsidR="003701C6" w:rsidRPr="00C5631E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C5631E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C5631E" w14:paraId="38E65D4C" w14:textId="77777777" w:rsidTr="003701C6">
        <w:trPr>
          <w:trHeight w:val="2511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42" w14:textId="77777777" w:rsidR="004A585A" w:rsidRPr="00C5631E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43" w14:textId="525E5FD3" w:rsidR="00832372" w:rsidRPr="00C5631E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 xml:space="preserve">Paper and pencils for children to record their learning and thinking – this alternatively could be done </w:t>
            </w:r>
            <w:r w:rsidR="00C5631E" w:rsidRPr="00C5631E">
              <w:rPr>
                <w:rFonts w:ascii="Century Gothic" w:hAnsi="Century Gothic"/>
                <w:sz w:val="22"/>
                <w:szCs w:val="22"/>
              </w:rPr>
              <w:t>electronically.</w:t>
            </w:r>
          </w:p>
          <w:p w14:paraId="38E65D44" w14:textId="77777777" w:rsidR="003701C6" w:rsidRPr="00C5631E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38E65D45" w14:textId="77777777" w:rsidR="003701C6" w:rsidRPr="00C5631E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Flip chart / A3 paper and pens for each table (optional)</w:t>
            </w:r>
          </w:p>
          <w:p w14:paraId="38E65D46" w14:textId="77777777" w:rsidR="003470A3" w:rsidRPr="00C5631E" w:rsidRDefault="003470A3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38E65D47" w14:textId="128B15E9" w:rsidR="003470A3" w:rsidRDefault="003470A3" w:rsidP="00832372">
            <w:pPr>
              <w:pStyle w:val="Default"/>
              <w:rPr>
                <w:rFonts w:ascii="Century Gothic" w:eastAsia="Verdana" w:hAnsi="Century Gothic" w:cs="Verdana"/>
                <w:color w:val="0000FF"/>
                <w:sz w:val="22"/>
                <w:szCs w:val="22"/>
                <w:u w:val="single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Internet access for research / al</w:t>
            </w:r>
            <w:r w:rsidR="0002619F" w:rsidRPr="00C5631E">
              <w:rPr>
                <w:rFonts w:ascii="Century Gothic" w:hAnsi="Century Gothic"/>
                <w:sz w:val="22"/>
                <w:szCs w:val="22"/>
              </w:rPr>
              <w:t xml:space="preserve">ternatively printed information. For both it is recommended you utilise </w:t>
            </w:r>
            <w:hyperlink r:id="rId12" w:history="1">
              <w:r w:rsidR="000461A1" w:rsidRPr="00C5631E">
                <w:rPr>
                  <w:rStyle w:val="Hyperlink"/>
                  <w:rFonts w:ascii="Century Gothic" w:hAnsi="Century Gothic"/>
                  <w:sz w:val="22"/>
                  <w:szCs w:val="22"/>
                </w:rPr>
                <w:t>www.talktofrank.com</w:t>
              </w:r>
            </w:hyperlink>
            <w:r w:rsidR="000461A1" w:rsidRPr="00C5631E">
              <w:rPr>
                <w:rFonts w:ascii="Century Gothic" w:hAnsi="Century Gothic"/>
                <w:sz w:val="22"/>
                <w:szCs w:val="22"/>
              </w:rPr>
              <w:t xml:space="preserve"> and drugwise </w:t>
            </w:r>
            <w:hyperlink r:id="rId13" w:history="1">
              <w:r w:rsidR="000461A1" w:rsidRPr="00C5631E">
                <w:rPr>
                  <w:rFonts w:ascii="Century Gothic" w:eastAsia="Verdana" w:hAnsi="Century Gothic" w:cs="Verdana"/>
                  <w:color w:val="0000FF"/>
                  <w:sz w:val="22"/>
                  <w:szCs w:val="22"/>
                  <w:u w:val="single"/>
                </w:rPr>
                <w:t>https://www.drugwise.org.uk/drugsearch-encyclopedia/</w:t>
              </w:r>
            </w:hyperlink>
          </w:p>
          <w:p w14:paraId="7CD43E85" w14:textId="756F71F8" w:rsidR="00C5631E" w:rsidRDefault="00C5631E" w:rsidP="00832372">
            <w:pPr>
              <w:pStyle w:val="Default"/>
              <w:rPr>
                <w:rFonts w:ascii="Century Gothic" w:eastAsia="Verdana" w:hAnsi="Century Gothic" w:cs="Verdana"/>
                <w:color w:val="0000FF"/>
                <w:sz w:val="22"/>
                <w:szCs w:val="22"/>
                <w:u w:val="single"/>
              </w:rPr>
            </w:pPr>
          </w:p>
          <w:p w14:paraId="4F742876" w14:textId="2A363CE2" w:rsidR="00C5631E" w:rsidRPr="00C5631E" w:rsidRDefault="00C5631E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 log.</w:t>
            </w:r>
          </w:p>
          <w:p w14:paraId="38E65D48" w14:textId="77777777" w:rsidR="003701C6" w:rsidRPr="00C5631E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DB6D831" w14:textId="77777777" w:rsidR="004A585A" w:rsidRDefault="004A585A">
            <w:pPr>
              <w:ind w:left="0" w:right="18" w:firstLine="0"/>
              <w:jc w:val="center"/>
              <w:rPr>
                <w:rFonts w:ascii="Century Gothic" w:hAnsi="Century Gothic"/>
                <w:sz w:val="22"/>
              </w:rPr>
            </w:pPr>
          </w:p>
          <w:p w14:paraId="3B8C4188" w14:textId="77777777" w:rsidR="00A935C2" w:rsidRDefault="00A935C2">
            <w:pPr>
              <w:ind w:left="0" w:right="18" w:firstLine="0"/>
              <w:jc w:val="center"/>
              <w:rPr>
                <w:rFonts w:ascii="Century Gothic" w:hAnsi="Century Gothic"/>
                <w:sz w:val="22"/>
              </w:rPr>
            </w:pPr>
          </w:p>
          <w:p w14:paraId="38E65D4B" w14:textId="1A90AEBD" w:rsidR="00A935C2" w:rsidRPr="00C5631E" w:rsidRDefault="00A935C2">
            <w:pPr>
              <w:ind w:left="0" w:right="18" w:firstLine="0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954669" w:rsidRPr="00C5631E" w14:paraId="38E65D60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4D" w14:textId="77777777" w:rsidR="00954669" w:rsidRPr="00C5631E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sz w:val="22"/>
              </w:rPr>
              <w:lastRenderedPageBreak/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4E" w14:textId="77777777" w:rsidR="000E2BB6" w:rsidRPr="00C5631E" w:rsidRDefault="000E2BB6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6B63A5F4" w14:textId="43567F48" w:rsidR="00A935C2" w:rsidRPr="00C5631E" w:rsidRDefault="007368BC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C5631E">
              <w:rPr>
                <w:rFonts w:ascii="Century Gothic" w:hAnsi="Century Gothic"/>
                <w:b/>
                <w:sz w:val="22"/>
                <w:szCs w:val="22"/>
              </w:rPr>
              <w:t>Introduction discussion – whole class</w:t>
            </w:r>
          </w:p>
          <w:p w14:paraId="38E65D50" w14:textId="77777777" w:rsidR="007368BC" w:rsidRPr="00C5631E" w:rsidRDefault="007368BC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E65D51" w14:textId="1E3F900A" w:rsidR="002F4969" w:rsidRPr="00C5631E" w:rsidRDefault="007368BC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 xml:space="preserve">At some stage in </w:t>
            </w:r>
            <w:r w:rsidR="00C5631E" w:rsidRPr="00C5631E">
              <w:rPr>
                <w:rFonts w:ascii="Century Gothic" w:hAnsi="Century Gothic"/>
                <w:sz w:val="22"/>
                <w:szCs w:val="22"/>
              </w:rPr>
              <w:t>life,</w:t>
            </w:r>
            <w:r w:rsidRPr="00C5631E">
              <w:rPr>
                <w:rFonts w:ascii="Century Gothic" w:hAnsi="Century Gothic"/>
                <w:sz w:val="22"/>
                <w:szCs w:val="22"/>
              </w:rPr>
              <w:t xml:space="preserve"> many of us may </w:t>
            </w:r>
            <w:proofErr w:type="gramStart"/>
            <w:r w:rsidRPr="00C5631E">
              <w:rPr>
                <w:rFonts w:ascii="Century Gothic" w:hAnsi="Century Gothic"/>
                <w:sz w:val="22"/>
                <w:szCs w:val="22"/>
              </w:rPr>
              <w:t>come i</w:t>
            </w:r>
            <w:r w:rsidR="002F4969" w:rsidRPr="00C5631E">
              <w:rPr>
                <w:rFonts w:ascii="Century Gothic" w:hAnsi="Century Gothic"/>
                <w:sz w:val="22"/>
                <w:szCs w:val="22"/>
              </w:rPr>
              <w:t>nto contact with</w:t>
            </w:r>
            <w:proofErr w:type="gramEnd"/>
            <w:r w:rsidR="002F4969" w:rsidRPr="00C5631E">
              <w:rPr>
                <w:rFonts w:ascii="Century Gothic" w:hAnsi="Century Gothic"/>
                <w:sz w:val="22"/>
                <w:szCs w:val="22"/>
              </w:rPr>
              <w:t xml:space="preserve"> someone who is or </w:t>
            </w:r>
            <w:r w:rsidRPr="00C5631E">
              <w:rPr>
                <w:rFonts w:ascii="Century Gothic" w:hAnsi="Century Gothic"/>
                <w:sz w:val="22"/>
                <w:szCs w:val="22"/>
              </w:rPr>
              <w:t xml:space="preserve">has used drugs and alcohol. </w:t>
            </w:r>
            <w:r w:rsidR="002F4969" w:rsidRPr="00C5631E">
              <w:rPr>
                <w:rFonts w:ascii="Century Gothic" w:hAnsi="Century Gothic"/>
                <w:sz w:val="22"/>
                <w:szCs w:val="22"/>
              </w:rPr>
              <w:t xml:space="preserve">Drugs are substances that are consumed that change the way someone feels, </w:t>
            </w:r>
            <w:proofErr w:type="gramStart"/>
            <w:r w:rsidR="002F4969" w:rsidRPr="00C5631E">
              <w:rPr>
                <w:rFonts w:ascii="Century Gothic" w:hAnsi="Century Gothic"/>
                <w:sz w:val="22"/>
                <w:szCs w:val="22"/>
              </w:rPr>
              <w:t>behaves</w:t>
            </w:r>
            <w:proofErr w:type="gramEnd"/>
            <w:r w:rsidR="002F4969" w:rsidRPr="00C5631E">
              <w:rPr>
                <w:rFonts w:ascii="Century Gothic" w:hAnsi="Century Gothic"/>
                <w:sz w:val="22"/>
                <w:szCs w:val="22"/>
              </w:rPr>
              <w:t xml:space="preserve"> and respond. </w:t>
            </w:r>
          </w:p>
          <w:p w14:paraId="38E65D52" w14:textId="77777777" w:rsidR="007368BC" w:rsidRPr="00C5631E" w:rsidRDefault="007368BC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Today’s session will explore the three most common drugs you may come into contact with and give you some information about what they are and how you can keep safe.</w:t>
            </w:r>
          </w:p>
          <w:p w14:paraId="38E65D53" w14:textId="77777777" w:rsidR="007368BC" w:rsidRPr="00C5631E" w:rsidRDefault="007368BC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E65D54" w14:textId="77777777" w:rsidR="007368BC" w:rsidRPr="00C5631E" w:rsidRDefault="007368BC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E65D55" w14:textId="77777777" w:rsidR="0066144A" w:rsidRPr="00C5631E" w:rsidRDefault="00C42C19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C5631E">
              <w:rPr>
                <w:rFonts w:ascii="Century Gothic" w:hAnsi="Century Gothic"/>
                <w:b/>
                <w:sz w:val="22"/>
                <w:szCs w:val="22"/>
              </w:rPr>
              <w:t>Main Activity</w:t>
            </w:r>
            <w:r w:rsidR="0066144A" w:rsidRPr="00C5631E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14:paraId="38E65D56" w14:textId="77777777" w:rsidR="007D157D" w:rsidRPr="00C5631E" w:rsidRDefault="003470A3" w:rsidP="007368BC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C5631E">
              <w:rPr>
                <w:rFonts w:ascii="Century Gothic" w:hAnsi="Century Gothic"/>
                <w:b/>
                <w:sz w:val="22"/>
                <w:szCs w:val="22"/>
              </w:rPr>
              <w:t>3 small groups</w:t>
            </w:r>
          </w:p>
          <w:p w14:paraId="38E65D57" w14:textId="77777777" w:rsidR="003470A3" w:rsidRPr="00C5631E" w:rsidRDefault="003470A3" w:rsidP="007368BC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E65D58" w14:textId="77777777" w:rsidR="003470A3" w:rsidRPr="00C5631E" w:rsidRDefault="003470A3" w:rsidP="007368BC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With the class divided into 3 small groups; each group is given a drug to research and create a mini presentation on. The children are to consider:</w:t>
            </w:r>
          </w:p>
          <w:p w14:paraId="38E65D59" w14:textId="09F7E508" w:rsidR="003470A3" w:rsidRPr="00C5631E" w:rsidRDefault="003470A3" w:rsidP="003470A3">
            <w:pPr>
              <w:pStyle w:val="BodyText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 xml:space="preserve">The effects – how may someone look, </w:t>
            </w:r>
            <w:r w:rsidR="00C5631E" w:rsidRPr="00C5631E">
              <w:rPr>
                <w:rFonts w:ascii="Century Gothic" w:hAnsi="Century Gothic"/>
                <w:sz w:val="22"/>
                <w:szCs w:val="22"/>
              </w:rPr>
              <w:t>feel,</w:t>
            </w:r>
            <w:r w:rsidRPr="00C5631E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 w:rsidR="00C5631E" w:rsidRPr="00C5631E">
              <w:rPr>
                <w:rFonts w:ascii="Century Gothic" w:hAnsi="Century Gothic"/>
                <w:sz w:val="22"/>
                <w:szCs w:val="22"/>
              </w:rPr>
              <w:t>behave.</w:t>
            </w:r>
          </w:p>
          <w:p w14:paraId="38E65D5A" w14:textId="77777777" w:rsidR="003470A3" w:rsidRPr="00C5631E" w:rsidRDefault="003470A3" w:rsidP="003470A3">
            <w:pPr>
              <w:pStyle w:val="BodyText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What could happen to the body?</w:t>
            </w:r>
          </w:p>
          <w:p w14:paraId="38E65D5B" w14:textId="77777777" w:rsidR="003470A3" w:rsidRPr="00C5631E" w:rsidRDefault="003470A3" w:rsidP="003470A3">
            <w:pPr>
              <w:pStyle w:val="BodyText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 xml:space="preserve">How could you keep safe around someone using this </w:t>
            </w:r>
            <w:r w:rsidR="00C42C19" w:rsidRPr="00C5631E">
              <w:rPr>
                <w:rFonts w:ascii="Century Gothic" w:hAnsi="Century Gothic"/>
                <w:sz w:val="22"/>
                <w:szCs w:val="22"/>
              </w:rPr>
              <w:t>drug?</w:t>
            </w:r>
          </w:p>
          <w:p w14:paraId="38E65D5C" w14:textId="77777777" w:rsidR="00C42C19" w:rsidRPr="00C5631E" w:rsidRDefault="00C42C19" w:rsidP="003470A3">
            <w:pPr>
              <w:pStyle w:val="BodyText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What does the law say about this drug?</w:t>
            </w:r>
          </w:p>
          <w:p w14:paraId="38E65D5D" w14:textId="77777777" w:rsidR="003470A3" w:rsidRPr="00C5631E" w:rsidRDefault="003470A3" w:rsidP="007368BC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38E65D5E" w14:textId="77777777" w:rsidR="007368BC" w:rsidRPr="00C5631E" w:rsidRDefault="0002619F" w:rsidP="000C30DE">
            <w:pPr>
              <w:pStyle w:val="BodyText"/>
              <w:rPr>
                <w:b/>
                <w:sz w:val="22"/>
                <w:szCs w:val="22"/>
              </w:rPr>
            </w:pPr>
            <w:r w:rsidRPr="00C5631E">
              <w:rPr>
                <w:rFonts w:ascii="Century Gothic" w:hAnsi="Century Gothic"/>
                <w:sz w:val="22"/>
                <w:szCs w:val="22"/>
              </w:rPr>
              <w:t>Each group is to then feed their information back to the class</w:t>
            </w:r>
            <w:r w:rsidR="00711F3C" w:rsidRPr="00C5631E">
              <w:rPr>
                <w:rFonts w:ascii="Century Gothic" w:hAnsi="Century Gothic"/>
                <w:sz w:val="22"/>
                <w:szCs w:val="22"/>
              </w:rPr>
              <w:t>.</w:t>
            </w:r>
            <w:r w:rsidRPr="00C5631E">
              <w:rPr>
                <w:rFonts w:ascii="Century Gothic" w:hAnsi="Century Gothic"/>
                <w:sz w:val="22"/>
                <w:szCs w:val="22"/>
              </w:rPr>
              <w:t xml:space="preserve"> Teacher is to expand</w:t>
            </w:r>
            <w:r w:rsidR="00711F3C" w:rsidRPr="00C5631E">
              <w:rPr>
                <w:rFonts w:ascii="Century Gothic" w:hAnsi="Century Gothic"/>
                <w:sz w:val="22"/>
                <w:szCs w:val="22"/>
              </w:rPr>
              <w:t xml:space="preserve"> on any appropriate information and encouragement should be given for relevant and appropriate questions. </w:t>
            </w:r>
          </w:p>
          <w:p w14:paraId="38E65D5F" w14:textId="77777777" w:rsidR="0066144A" w:rsidRPr="00C5631E" w:rsidRDefault="0066144A" w:rsidP="00DF2A92">
            <w:pPr>
              <w:rPr>
                <w:rFonts w:ascii="Century Gothic" w:hAnsi="Century Gothic"/>
                <w:sz w:val="22"/>
              </w:rPr>
            </w:pPr>
          </w:p>
        </w:tc>
      </w:tr>
      <w:tr w:rsidR="00F06DC3" w:rsidRPr="00C5631E" w14:paraId="38E65D63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61" w14:textId="77777777" w:rsidR="00F06DC3" w:rsidRPr="00C5631E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C5631E">
              <w:rPr>
                <w:rFonts w:ascii="Century Gothic" w:hAnsi="Century Gothic"/>
                <w:sz w:val="22"/>
              </w:rPr>
              <w:t>Assessment</w:t>
            </w:r>
            <w:r w:rsidR="00041EF5" w:rsidRPr="00C5631E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5D62" w14:textId="77777777" w:rsidR="00F06DC3" w:rsidRPr="00C5631E" w:rsidRDefault="003F389B" w:rsidP="007368BC">
            <w:pPr>
              <w:rPr>
                <w:rFonts w:ascii="Century Gothic" w:hAnsi="Century Gothic"/>
                <w:b w:val="0"/>
                <w:bCs/>
                <w:sz w:val="22"/>
              </w:rPr>
            </w:pPr>
            <w:r w:rsidRPr="00C5631E">
              <w:rPr>
                <w:rFonts w:ascii="Century Gothic" w:hAnsi="Century Gothic"/>
                <w:b w:val="0"/>
                <w:bCs/>
                <w:sz w:val="22"/>
              </w:rPr>
              <w:t xml:space="preserve">Time should be allowed for any children that wish to speak to an adult about what has been discussed during today’s session. </w:t>
            </w:r>
          </w:p>
        </w:tc>
      </w:tr>
    </w:tbl>
    <w:p w14:paraId="38E65D64" w14:textId="77777777" w:rsidR="00F93C9E" w:rsidRPr="005277C6" w:rsidRDefault="00A47229">
      <w:pPr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sectPr w:rsidR="00F93C9E" w:rsidRPr="005277C6">
      <w:headerReference w:type="default" r:id="rId14"/>
      <w:footerReference w:type="even" r:id="rId15"/>
      <w:footerReference w:type="default" r:id="rId16"/>
      <w:footerReference w:type="first" r:id="rId17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5D6B" w14:textId="77777777" w:rsidR="003470A3" w:rsidRDefault="003470A3">
      <w:pPr>
        <w:spacing w:line="240" w:lineRule="auto"/>
      </w:pPr>
      <w:r>
        <w:separator/>
      </w:r>
    </w:p>
  </w:endnote>
  <w:endnote w:type="continuationSeparator" w:id="0">
    <w:p w14:paraId="38E65D6C" w14:textId="77777777" w:rsidR="003470A3" w:rsidRDefault="00347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5D6E" w14:textId="77777777" w:rsidR="003470A3" w:rsidRDefault="003470A3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38E65D6F" w14:textId="77777777" w:rsidR="003470A3" w:rsidRDefault="003470A3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5D70" w14:textId="5CAF68A6" w:rsidR="003470A3" w:rsidRDefault="004C371F">
    <w:pPr>
      <w:ind w:left="0" w:firstLine="0"/>
    </w:pPr>
    <w:r w:rsidRPr="00E92981">
      <w:rPr>
        <w:rFonts w:ascii="Century Gothic" w:hAnsi="Century Gothic"/>
        <w:b w:val="0"/>
        <w:bCs/>
      </w:rPr>
      <w:t xml:space="preserve">HE; Drugs, </w:t>
    </w:r>
    <w:r w:rsidR="00E92981" w:rsidRPr="00E92981">
      <w:rPr>
        <w:rFonts w:ascii="Century Gothic" w:hAnsi="Century Gothic"/>
        <w:b w:val="0"/>
        <w:bCs/>
      </w:rPr>
      <w:t>alcohol,</w:t>
    </w:r>
    <w:r w:rsidRPr="00E92981">
      <w:rPr>
        <w:rFonts w:ascii="Century Gothic" w:hAnsi="Century Gothic"/>
        <w:b w:val="0"/>
        <w:bCs/>
      </w:rPr>
      <w:t xml:space="preserve"> and tobacco</w:t>
    </w:r>
    <w:r w:rsidRPr="00E92981">
      <w:rPr>
        <w:rFonts w:ascii="Century Gothic" w:hAnsi="Century Gothic"/>
        <w:b w:val="0"/>
        <w:bCs/>
      </w:rPr>
      <w:ptab w:relativeTo="margin" w:alignment="center" w:leader="none"/>
    </w:r>
    <w:r w:rsidRPr="00E92981">
      <w:rPr>
        <w:rFonts w:ascii="Century Gothic" w:hAnsi="Century Gothic"/>
        <w:b w:val="0"/>
        <w:bCs/>
      </w:rPr>
      <w:ptab w:relativeTo="margin" w:alignment="right" w:leader="none"/>
    </w:r>
    <w:r w:rsidR="00E92981" w:rsidRPr="00E92981">
      <w:rPr>
        <w:rFonts w:ascii="Century Gothic" w:hAnsi="Century Gothic"/>
        <w:b w:val="0"/>
        <w:bCs/>
      </w:rPr>
      <w:t>Author</w:t>
    </w:r>
    <w:r w:rsidR="00E92981" w:rsidRPr="005D710D">
      <w:rPr>
        <w:rFonts w:ascii="Century Gothic" w:hAnsi="Century Gothic"/>
        <w:b w:val="0"/>
        <w:bCs/>
      </w:rPr>
      <w:t xml:space="preserve">: </w:t>
    </w:r>
    <w:hyperlink r:id="rId1" w:history="1">
      <w:r w:rsidR="00E92981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5D71" w14:textId="77777777" w:rsidR="003470A3" w:rsidRDefault="003470A3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38E65D72" w14:textId="77777777" w:rsidR="003470A3" w:rsidRDefault="003470A3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5D69" w14:textId="77777777" w:rsidR="003470A3" w:rsidRDefault="003470A3">
      <w:pPr>
        <w:spacing w:line="240" w:lineRule="auto"/>
      </w:pPr>
      <w:r>
        <w:separator/>
      </w:r>
    </w:p>
  </w:footnote>
  <w:footnote w:type="continuationSeparator" w:id="0">
    <w:p w14:paraId="38E65D6A" w14:textId="77777777" w:rsidR="003470A3" w:rsidRDefault="00347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3861" w14:textId="3742DCDC" w:rsidR="00C5631E" w:rsidRDefault="00C5631E">
    <w:pPr>
      <w:pStyle w:val="Header"/>
    </w:pPr>
  </w:p>
  <w:p w14:paraId="38E65D6D" w14:textId="7D417BB8" w:rsidR="00252EAF" w:rsidRDefault="0025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B9F"/>
    <w:multiLevelType w:val="hybridMultilevel"/>
    <w:tmpl w:val="A68A7E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3FED"/>
    <w:multiLevelType w:val="hybridMultilevel"/>
    <w:tmpl w:val="574C90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009FF"/>
    <w:multiLevelType w:val="hybridMultilevel"/>
    <w:tmpl w:val="4E1862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1436F"/>
    <w:multiLevelType w:val="hybridMultilevel"/>
    <w:tmpl w:val="9CF880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67E94"/>
    <w:multiLevelType w:val="hybridMultilevel"/>
    <w:tmpl w:val="7136826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52F5A"/>
    <w:multiLevelType w:val="multilevel"/>
    <w:tmpl w:val="B8A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A7BB4"/>
    <w:multiLevelType w:val="hybridMultilevel"/>
    <w:tmpl w:val="A66E418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D429A"/>
    <w:multiLevelType w:val="hybridMultilevel"/>
    <w:tmpl w:val="A802CB0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317B9"/>
    <w:multiLevelType w:val="hybridMultilevel"/>
    <w:tmpl w:val="DE3658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E822DC"/>
    <w:multiLevelType w:val="hybridMultilevel"/>
    <w:tmpl w:val="2FC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D7DE6"/>
    <w:multiLevelType w:val="hybridMultilevel"/>
    <w:tmpl w:val="483226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2A6F4A"/>
    <w:multiLevelType w:val="multilevel"/>
    <w:tmpl w:val="5A8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4B17"/>
    <w:multiLevelType w:val="multilevel"/>
    <w:tmpl w:val="E5D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CF5BC1"/>
    <w:multiLevelType w:val="hybridMultilevel"/>
    <w:tmpl w:val="9F3C2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7"/>
  </w:num>
  <w:num w:numId="21">
    <w:abstractNumId w:val="15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16B70"/>
    <w:rsid w:val="00022D43"/>
    <w:rsid w:val="0002619F"/>
    <w:rsid w:val="00036C44"/>
    <w:rsid w:val="00037B46"/>
    <w:rsid w:val="00041EF5"/>
    <w:rsid w:val="00044235"/>
    <w:rsid w:val="000461A1"/>
    <w:rsid w:val="0007107F"/>
    <w:rsid w:val="00075ED5"/>
    <w:rsid w:val="000A08E6"/>
    <w:rsid w:val="000B11A6"/>
    <w:rsid w:val="000B48F9"/>
    <w:rsid w:val="000C30DE"/>
    <w:rsid w:val="000C638C"/>
    <w:rsid w:val="000C7D17"/>
    <w:rsid w:val="000E2BB6"/>
    <w:rsid w:val="000E2EC3"/>
    <w:rsid w:val="000E68D9"/>
    <w:rsid w:val="00103CAB"/>
    <w:rsid w:val="00110730"/>
    <w:rsid w:val="00126598"/>
    <w:rsid w:val="00147680"/>
    <w:rsid w:val="00167284"/>
    <w:rsid w:val="00173303"/>
    <w:rsid w:val="001A504C"/>
    <w:rsid w:val="001B1F9D"/>
    <w:rsid w:val="001F47AB"/>
    <w:rsid w:val="00252EAF"/>
    <w:rsid w:val="00277D58"/>
    <w:rsid w:val="002C50F8"/>
    <w:rsid w:val="002D403D"/>
    <w:rsid w:val="002F4969"/>
    <w:rsid w:val="003470A3"/>
    <w:rsid w:val="003701C6"/>
    <w:rsid w:val="003B2287"/>
    <w:rsid w:val="003B4AAF"/>
    <w:rsid w:val="003F389B"/>
    <w:rsid w:val="00417D41"/>
    <w:rsid w:val="00433B5B"/>
    <w:rsid w:val="00452F30"/>
    <w:rsid w:val="004672C4"/>
    <w:rsid w:val="004738D7"/>
    <w:rsid w:val="00496D9D"/>
    <w:rsid w:val="004A585A"/>
    <w:rsid w:val="004B1E56"/>
    <w:rsid w:val="004C371F"/>
    <w:rsid w:val="004C540B"/>
    <w:rsid w:val="004D6F91"/>
    <w:rsid w:val="004E2B29"/>
    <w:rsid w:val="004E629F"/>
    <w:rsid w:val="00517151"/>
    <w:rsid w:val="005203A8"/>
    <w:rsid w:val="005277C6"/>
    <w:rsid w:val="00552ED6"/>
    <w:rsid w:val="005550F0"/>
    <w:rsid w:val="0057289D"/>
    <w:rsid w:val="0058049F"/>
    <w:rsid w:val="0058061F"/>
    <w:rsid w:val="0058342D"/>
    <w:rsid w:val="005942AD"/>
    <w:rsid w:val="005C1B91"/>
    <w:rsid w:val="0060181F"/>
    <w:rsid w:val="006241C5"/>
    <w:rsid w:val="00630AFB"/>
    <w:rsid w:val="00637905"/>
    <w:rsid w:val="00651F94"/>
    <w:rsid w:val="0066144A"/>
    <w:rsid w:val="006618A1"/>
    <w:rsid w:val="00661AA5"/>
    <w:rsid w:val="006971E4"/>
    <w:rsid w:val="006C222C"/>
    <w:rsid w:val="006D7919"/>
    <w:rsid w:val="0070437B"/>
    <w:rsid w:val="0070636B"/>
    <w:rsid w:val="00711F3C"/>
    <w:rsid w:val="007212E6"/>
    <w:rsid w:val="00724030"/>
    <w:rsid w:val="007368BC"/>
    <w:rsid w:val="00751DC9"/>
    <w:rsid w:val="00760801"/>
    <w:rsid w:val="0077589B"/>
    <w:rsid w:val="00791B2B"/>
    <w:rsid w:val="0079678C"/>
    <w:rsid w:val="007C419D"/>
    <w:rsid w:val="007D157D"/>
    <w:rsid w:val="008303DA"/>
    <w:rsid w:val="00831954"/>
    <w:rsid w:val="00832372"/>
    <w:rsid w:val="00837B43"/>
    <w:rsid w:val="00841885"/>
    <w:rsid w:val="00844A4A"/>
    <w:rsid w:val="00851A68"/>
    <w:rsid w:val="00855DE9"/>
    <w:rsid w:val="0085667D"/>
    <w:rsid w:val="00883506"/>
    <w:rsid w:val="008B06E0"/>
    <w:rsid w:val="008B40DA"/>
    <w:rsid w:val="008D04A0"/>
    <w:rsid w:val="008D232D"/>
    <w:rsid w:val="008D5F8F"/>
    <w:rsid w:val="008F4A4E"/>
    <w:rsid w:val="00954209"/>
    <w:rsid w:val="00954669"/>
    <w:rsid w:val="00970276"/>
    <w:rsid w:val="00970517"/>
    <w:rsid w:val="00975D34"/>
    <w:rsid w:val="009B00F3"/>
    <w:rsid w:val="009C41F9"/>
    <w:rsid w:val="009F55F2"/>
    <w:rsid w:val="00A10B84"/>
    <w:rsid w:val="00A2450E"/>
    <w:rsid w:val="00A24B04"/>
    <w:rsid w:val="00A42F90"/>
    <w:rsid w:val="00A47229"/>
    <w:rsid w:val="00A54691"/>
    <w:rsid w:val="00A838DA"/>
    <w:rsid w:val="00A87968"/>
    <w:rsid w:val="00A935C2"/>
    <w:rsid w:val="00AF51AA"/>
    <w:rsid w:val="00AF6CF3"/>
    <w:rsid w:val="00B228A3"/>
    <w:rsid w:val="00B40126"/>
    <w:rsid w:val="00B72292"/>
    <w:rsid w:val="00B802C2"/>
    <w:rsid w:val="00B90E0F"/>
    <w:rsid w:val="00B97683"/>
    <w:rsid w:val="00BA67EC"/>
    <w:rsid w:val="00BB1044"/>
    <w:rsid w:val="00BC11F2"/>
    <w:rsid w:val="00BD04D7"/>
    <w:rsid w:val="00BD155A"/>
    <w:rsid w:val="00BD37E0"/>
    <w:rsid w:val="00BE10BD"/>
    <w:rsid w:val="00C168F9"/>
    <w:rsid w:val="00C22F1A"/>
    <w:rsid w:val="00C42C19"/>
    <w:rsid w:val="00C46A23"/>
    <w:rsid w:val="00C5631E"/>
    <w:rsid w:val="00C8623A"/>
    <w:rsid w:val="00C91CD5"/>
    <w:rsid w:val="00CB75C7"/>
    <w:rsid w:val="00CD08CC"/>
    <w:rsid w:val="00CF08BB"/>
    <w:rsid w:val="00D70807"/>
    <w:rsid w:val="00D74A4F"/>
    <w:rsid w:val="00D93FE3"/>
    <w:rsid w:val="00DF2A92"/>
    <w:rsid w:val="00E00E10"/>
    <w:rsid w:val="00E66E7C"/>
    <w:rsid w:val="00E87FCC"/>
    <w:rsid w:val="00E92981"/>
    <w:rsid w:val="00EC6C68"/>
    <w:rsid w:val="00ED76D7"/>
    <w:rsid w:val="00EE38C9"/>
    <w:rsid w:val="00EE72F8"/>
    <w:rsid w:val="00F06DC3"/>
    <w:rsid w:val="00F11B0D"/>
    <w:rsid w:val="00F22F15"/>
    <w:rsid w:val="00F3214E"/>
    <w:rsid w:val="00F72F4C"/>
    <w:rsid w:val="00F93C9E"/>
    <w:rsid w:val="00F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5D27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6144A"/>
    <w:rPr>
      <w:rFonts w:ascii="Gill Sans MT" w:eastAsia="Times New Roman" w:hAnsi="Gill Sans M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F94"/>
    <w:pPr>
      <w:ind w:left="720"/>
      <w:contextualSpacing/>
    </w:pPr>
  </w:style>
  <w:style w:type="table" w:styleId="TableGrid0">
    <w:name w:val="Table Grid"/>
    <w:basedOn w:val="TableNormal"/>
    <w:uiPriority w:val="39"/>
    <w:rsid w:val="0058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ugwise.org.uk/drugsearch-encyclopedi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alktofrank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he-association.org.uk/resourc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hangegrowlive.org/positive-choices-covent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0E200-BC48-4650-858E-72C5CDB872DB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customXml/itemProps2.xml><?xml version="1.0" encoding="utf-8"?>
<ds:datastoreItem xmlns:ds="http://schemas.openxmlformats.org/officeDocument/2006/customXml" ds:itemID="{F76ACCE4-B596-4E7E-851D-8CAA12AAF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511AA-BEA4-4C5D-B46D-4077090B8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21</cp:revision>
  <dcterms:created xsi:type="dcterms:W3CDTF">2020-03-02T16:40:00Z</dcterms:created>
  <dcterms:modified xsi:type="dcterms:W3CDTF">2021-06-17T08:52:00Z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732600</vt:r8>
  </property>
  <property fmtid="{D5CDD505-2E9C-101B-9397-08002B2CF9AE}" pid="4" name="TaxKeyword">
    <vt:lpwstr/>
  </property>
</Properties>
</file>